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D5B" w:rsidRPr="00C06D5B" w:rsidRDefault="00C06D5B" w:rsidP="00C06D5B">
      <w:pPr>
        <w:pStyle w:val="a3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06D5B">
        <w:rPr>
          <w:rFonts w:ascii="Times New Roman" w:hAnsi="Times New Roman" w:cs="Times New Roman"/>
          <w:sz w:val="28"/>
          <w:szCs w:val="28"/>
        </w:rPr>
        <w:t>Департамент образования администраци</w:t>
      </w:r>
      <w:r>
        <w:rPr>
          <w:rFonts w:ascii="Times New Roman" w:hAnsi="Times New Roman" w:cs="Times New Roman"/>
          <w:sz w:val="28"/>
          <w:szCs w:val="28"/>
        </w:rPr>
        <w:t>и города</w:t>
      </w:r>
      <w:r w:rsidRPr="00C06D5B">
        <w:rPr>
          <w:rFonts w:ascii="Times New Roman" w:hAnsi="Times New Roman" w:cs="Times New Roman"/>
          <w:sz w:val="28"/>
          <w:szCs w:val="28"/>
        </w:rPr>
        <w:t xml:space="preserve"> Перми</w:t>
      </w:r>
    </w:p>
    <w:p w:rsidR="00C06D5B" w:rsidRPr="00C06D5B" w:rsidRDefault="00C2767C" w:rsidP="00C06D5B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5" w:history="1">
        <w:r w:rsidR="00C06D5B" w:rsidRPr="00C06D5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Муниципальное автономное общеобразовательное учреждение</w:t>
        </w:r>
        <w:r w:rsidR="00C06D5B" w:rsidRPr="00C06D5B">
          <w:rPr>
            <w:rFonts w:ascii="Times New Roman" w:eastAsia="Calibri" w:hAnsi="Times New Roman" w:cs="Times New Roman"/>
            <w:sz w:val="28"/>
            <w:szCs w:val="28"/>
            <w:lang w:eastAsia="ru-RU"/>
          </w:rPr>
          <w:br/>
          <w:t>«Средняя общеобразовательная школа № 25»</w:t>
        </w:r>
      </w:hyperlink>
      <w:r w:rsidR="00C06D5B" w:rsidRPr="00C06D5B">
        <w:rPr>
          <w:rFonts w:ascii="Times New Roman" w:hAnsi="Times New Roman" w:cs="Times New Roman"/>
          <w:sz w:val="28"/>
          <w:szCs w:val="28"/>
        </w:rPr>
        <w:t xml:space="preserve"> г. Перми</w:t>
      </w: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6D5B" w:rsidRDefault="00C06D5B" w:rsidP="00C06D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51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Номинация:</w:t>
      </w:r>
      <w:r w:rsidRPr="00C051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0A2255">
        <w:rPr>
          <w:rFonts w:ascii="Times New Roman" w:hAnsi="Times New Roman" w:cs="Times New Roman"/>
          <w:sz w:val="28"/>
          <w:szCs w:val="28"/>
        </w:rPr>
        <w:t xml:space="preserve">Система работы </w:t>
      </w:r>
      <w:proofErr w:type="gramStart"/>
      <w:r w:rsidRPr="000A225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A2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D5B" w:rsidRPr="00C051B1" w:rsidRDefault="00C06D5B" w:rsidP="00C06D5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A2255">
        <w:rPr>
          <w:rFonts w:ascii="Times New Roman" w:hAnsi="Times New Roman" w:cs="Times New Roman"/>
          <w:sz w:val="28"/>
          <w:szCs w:val="28"/>
        </w:rPr>
        <w:t>сопровождению аттестации педагогов</w:t>
      </w: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C051B1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Методическая разработка</w:t>
      </w: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C051B1">
        <w:rPr>
          <w:rFonts w:ascii="Times New Roman" w:eastAsia="Calibri" w:hAnsi="Times New Roman" w:cs="Times New Roman"/>
          <w:b/>
          <w:bCs/>
          <w:sz w:val="40"/>
          <w:szCs w:val="40"/>
          <w:lang w:eastAsia="ru-RU"/>
        </w:rPr>
        <w:t>«</w:t>
      </w:r>
      <w:r>
        <w:rPr>
          <w:rFonts w:ascii="Times New Roman" w:eastAsia="Calibri" w:hAnsi="Times New Roman" w:cs="Times New Roman"/>
          <w:b/>
          <w:bCs/>
          <w:sz w:val="40"/>
          <w:szCs w:val="40"/>
          <w:lang w:eastAsia="ru-RU"/>
        </w:rPr>
        <w:t>Методическое сопровождение аттестации педагогов МАОУ "СОШ № 25" на первую и высшую категорию</w:t>
      </w:r>
      <w:r w:rsidRPr="00C051B1">
        <w:rPr>
          <w:rFonts w:ascii="Times New Roman" w:eastAsia="Calibri" w:hAnsi="Times New Roman" w:cs="Times New Roman"/>
          <w:b/>
          <w:bCs/>
          <w:sz w:val="40"/>
          <w:szCs w:val="40"/>
          <w:lang w:eastAsia="ru-RU"/>
        </w:rPr>
        <w:t>»</w:t>
      </w: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3794"/>
        <w:gridCol w:w="2126"/>
        <w:gridCol w:w="3650"/>
      </w:tblGrid>
      <w:tr w:rsidR="00C06D5B" w:rsidRPr="00C051B1" w:rsidTr="008564A4">
        <w:tc>
          <w:tcPr>
            <w:tcW w:w="3794" w:type="dxa"/>
          </w:tcPr>
          <w:p w:rsidR="00C06D5B" w:rsidRPr="00C051B1" w:rsidRDefault="00C06D5B" w:rsidP="008564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C06D5B" w:rsidRPr="00C051B1" w:rsidRDefault="00C06D5B" w:rsidP="00856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0" w:type="dxa"/>
          </w:tcPr>
          <w:p w:rsidR="00C06D5B" w:rsidRPr="00C051B1" w:rsidRDefault="00C06D5B" w:rsidP="008564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051B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Автор-разработчик:</w:t>
            </w:r>
          </w:p>
          <w:p w:rsidR="00C06D5B" w:rsidRDefault="00C06D5B" w:rsidP="008564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Чучумова Оксана Юрьевна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</w:p>
          <w:p w:rsidR="00C06D5B" w:rsidRDefault="00C06D5B" w:rsidP="008564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учитель английского языка,</w:t>
            </w:r>
          </w:p>
          <w:p w:rsidR="00C06D5B" w:rsidRPr="00C051B1" w:rsidRDefault="00F42298" w:rsidP="008564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директора по управлению</w:t>
            </w:r>
            <w:r w:rsidR="00C06D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персоналом</w:t>
            </w:r>
            <w:r w:rsidR="00C06D5B" w:rsidRPr="00C051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06D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06D5B" w:rsidRPr="00F42298" w:rsidRDefault="00C06D5B" w:rsidP="008564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chuchumova</w:t>
            </w:r>
            <w:proofErr w:type="spellEnd"/>
            <w:r w:rsidRPr="00F4229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@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mail</w:t>
            </w:r>
            <w:r w:rsidRPr="00F4229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C06D5B" w:rsidRPr="00C051B1" w:rsidRDefault="00C06D5B" w:rsidP="008564A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Pr="00C051B1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6D5B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Пермь</w:t>
      </w:r>
      <w:r w:rsidRPr="00C051B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2018</w:t>
      </w:r>
    </w:p>
    <w:p w:rsidR="00C06D5B" w:rsidRDefault="00C06D5B" w:rsidP="00C06D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42298" w:rsidRDefault="000876BD" w:rsidP="000B49C9">
      <w:pPr>
        <w:pStyle w:val="a4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 xml:space="preserve">          </w:t>
      </w:r>
      <w:r w:rsidR="00F42298">
        <w:rPr>
          <w:sz w:val="28"/>
          <w:szCs w:val="28"/>
        </w:rPr>
        <w:t xml:space="preserve">Одним </w:t>
      </w:r>
      <w:r w:rsidR="00F42298" w:rsidRPr="00FA6244">
        <w:rPr>
          <w:sz w:val="28"/>
          <w:szCs w:val="28"/>
        </w:rPr>
        <w:t xml:space="preserve"> из основных </w:t>
      </w:r>
      <w:r w:rsidR="00F42298">
        <w:rPr>
          <w:sz w:val="28"/>
          <w:szCs w:val="28"/>
        </w:rPr>
        <w:t xml:space="preserve">критериев оценки работы  заместителя директора по управлению персоналом является количество успешно аттестованных на первую и высшую категории педагогических работников школы.  </w:t>
      </w:r>
    </w:p>
    <w:p w:rsidR="000876BD" w:rsidRDefault="000876BD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42298">
        <w:rPr>
          <w:sz w:val="28"/>
          <w:szCs w:val="28"/>
        </w:rPr>
        <w:t xml:space="preserve">На момент </w:t>
      </w:r>
      <w:r w:rsidR="0080006C">
        <w:rPr>
          <w:sz w:val="28"/>
          <w:szCs w:val="28"/>
        </w:rPr>
        <w:t xml:space="preserve">моего </w:t>
      </w:r>
      <w:r w:rsidR="00F42298">
        <w:rPr>
          <w:sz w:val="28"/>
          <w:szCs w:val="28"/>
        </w:rPr>
        <w:t xml:space="preserve">вступления в должность в сентябре 2016 года ситуация была следующей: 14 учителей имели соответствие занимаемой должности, 14 учителей не имели категории (и не подлежали аттестации), </w:t>
      </w:r>
      <w:r w:rsidR="00890EA8">
        <w:rPr>
          <w:sz w:val="28"/>
          <w:szCs w:val="28"/>
        </w:rPr>
        <w:t xml:space="preserve">только </w:t>
      </w:r>
      <w:r w:rsidR="00F42298">
        <w:rPr>
          <w:sz w:val="28"/>
          <w:szCs w:val="28"/>
        </w:rPr>
        <w:t>19 педагогов имели первую категорию и 11  учителей - высшую.</w:t>
      </w:r>
      <w:r w:rsidR="00890E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F42298" w:rsidRDefault="000876BD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0EA8">
        <w:rPr>
          <w:sz w:val="28"/>
          <w:szCs w:val="28"/>
        </w:rPr>
        <w:t xml:space="preserve">Проблема с аттестацией стояла достаточно остро. Многие отказывались </w:t>
      </w:r>
      <w:proofErr w:type="spellStart"/>
      <w:r w:rsidR="00890EA8">
        <w:rPr>
          <w:sz w:val="28"/>
          <w:szCs w:val="28"/>
        </w:rPr>
        <w:t>аттестовываться</w:t>
      </w:r>
      <w:proofErr w:type="spellEnd"/>
      <w:r w:rsidR="00890EA8">
        <w:rPr>
          <w:sz w:val="28"/>
          <w:szCs w:val="28"/>
        </w:rPr>
        <w:t xml:space="preserve">, </w:t>
      </w:r>
      <w:r w:rsidR="0080006C">
        <w:rPr>
          <w:sz w:val="28"/>
          <w:szCs w:val="28"/>
        </w:rPr>
        <w:t xml:space="preserve">считая это сложной процедурой, </w:t>
      </w:r>
      <w:r w:rsidR="00890EA8">
        <w:rPr>
          <w:sz w:val="28"/>
          <w:szCs w:val="28"/>
        </w:rPr>
        <w:t xml:space="preserve">поэтому  пришлось менять </w:t>
      </w:r>
      <w:r w:rsidR="0080006C">
        <w:rPr>
          <w:sz w:val="28"/>
          <w:szCs w:val="28"/>
        </w:rPr>
        <w:t xml:space="preserve">отношение к данному вопросу и </w:t>
      </w:r>
      <w:r w:rsidR="00560E6B">
        <w:rPr>
          <w:sz w:val="28"/>
          <w:szCs w:val="28"/>
        </w:rPr>
        <w:t xml:space="preserve">в целом </w:t>
      </w:r>
      <w:r w:rsidR="00890EA8">
        <w:rPr>
          <w:sz w:val="28"/>
          <w:szCs w:val="28"/>
        </w:rPr>
        <w:t>систему подготовки к аттестации, которая сложила</w:t>
      </w:r>
      <w:r w:rsidR="000B49C9">
        <w:rPr>
          <w:sz w:val="28"/>
          <w:szCs w:val="28"/>
        </w:rPr>
        <w:t>сь до этого в школе. Результаты</w:t>
      </w:r>
      <w:r w:rsidR="00890EA8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>были следующи</w:t>
      </w:r>
      <w:r w:rsidR="00890EA8">
        <w:rPr>
          <w:sz w:val="28"/>
          <w:szCs w:val="28"/>
        </w:rPr>
        <w:t>е:</w:t>
      </w:r>
    </w:p>
    <w:tbl>
      <w:tblPr>
        <w:tblStyle w:val="a5"/>
        <w:tblW w:w="0" w:type="auto"/>
        <w:tblLook w:val="04A0"/>
      </w:tblPr>
      <w:tblGrid>
        <w:gridCol w:w="2093"/>
        <w:gridCol w:w="2693"/>
        <w:gridCol w:w="3119"/>
        <w:gridCol w:w="1666"/>
      </w:tblGrid>
      <w:tr w:rsidR="00890EA8" w:rsidTr="00890EA8">
        <w:tc>
          <w:tcPr>
            <w:tcW w:w="2093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 xml:space="preserve"> Учебный год </w:t>
            </w:r>
          </w:p>
        </w:tc>
        <w:tc>
          <w:tcPr>
            <w:tcW w:w="2693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Были аттестованы на 1 категорию</w:t>
            </w:r>
          </w:p>
        </w:tc>
        <w:tc>
          <w:tcPr>
            <w:tcW w:w="3119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Были аттестованы на высшую категорию</w:t>
            </w:r>
          </w:p>
        </w:tc>
        <w:tc>
          <w:tcPr>
            <w:tcW w:w="1666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Итого</w:t>
            </w:r>
          </w:p>
        </w:tc>
      </w:tr>
      <w:tr w:rsidR="00890EA8" w:rsidTr="00890EA8">
        <w:tc>
          <w:tcPr>
            <w:tcW w:w="2093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2016-2017</w:t>
            </w:r>
          </w:p>
        </w:tc>
        <w:tc>
          <w:tcPr>
            <w:tcW w:w="2693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12</w:t>
            </w:r>
          </w:p>
        </w:tc>
        <w:tc>
          <w:tcPr>
            <w:tcW w:w="3119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3</w:t>
            </w:r>
          </w:p>
        </w:tc>
        <w:tc>
          <w:tcPr>
            <w:tcW w:w="1666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15</w:t>
            </w:r>
          </w:p>
        </w:tc>
      </w:tr>
      <w:tr w:rsidR="00890EA8" w:rsidTr="00890EA8">
        <w:tc>
          <w:tcPr>
            <w:tcW w:w="2093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2017-2018</w:t>
            </w:r>
          </w:p>
        </w:tc>
        <w:tc>
          <w:tcPr>
            <w:tcW w:w="2693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7</w:t>
            </w:r>
          </w:p>
        </w:tc>
        <w:tc>
          <w:tcPr>
            <w:tcW w:w="3119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6</w:t>
            </w:r>
          </w:p>
        </w:tc>
        <w:tc>
          <w:tcPr>
            <w:tcW w:w="1666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13</w:t>
            </w:r>
          </w:p>
        </w:tc>
      </w:tr>
      <w:tr w:rsidR="00890EA8" w:rsidTr="003B78EE">
        <w:tc>
          <w:tcPr>
            <w:tcW w:w="7905" w:type="dxa"/>
            <w:gridSpan w:val="3"/>
            <w:shd w:val="clear" w:color="auto" w:fill="auto"/>
          </w:tcPr>
          <w:p w:rsidR="00890EA8" w:rsidRPr="00986D9C" w:rsidRDefault="00890EA8" w:rsidP="00890EA8">
            <w:pPr>
              <w:pStyle w:val="a4"/>
              <w:spacing w:line="360" w:lineRule="auto"/>
              <w:jc w:val="right"/>
              <w:rPr>
                <w:szCs w:val="28"/>
              </w:rPr>
            </w:pPr>
            <w:r w:rsidRPr="00986D9C">
              <w:rPr>
                <w:szCs w:val="28"/>
              </w:rPr>
              <w:t xml:space="preserve">За 2 </w:t>
            </w:r>
            <w:proofErr w:type="gramStart"/>
            <w:r w:rsidRPr="00986D9C">
              <w:rPr>
                <w:szCs w:val="28"/>
              </w:rPr>
              <w:t>учебных</w:t>
            </w:r>
            <w:proofErr w:type="gramEnd"/>
            <w:r w:rsidRPr="00986D9C">
              <w:rPr>
                <w:szCs w:val="28"/>
              </w:rPr>
              <w:t xml:space="preserve"> года</w:t>
            </w:r>
          </w:p>
        </w:tc>
        <w:tc>
          <w:tcPr>
            <w:tcW w:w="1666" w:type="dxa"/>
          </w:tcPr>
          <w:p w:rsidR="00890EA8" w:rsidRPr="00986D9C" w:rsidRDefault="00890EA8" w:rsidP="00F42298">
            <w:pPr>
              <w:pStyle w:val="a4"/>
              <w:spacing w:line="360" w:lineRule="auto"/>
              <w:rPr>
                <w:szCs w:val="28"/>
              </w:rPr>
            </w:pPr>
            <w:r w:rsidRPr="00986D9C">
              <w:rPr>
                <w:szCs w:val="28"/>
              </w:rPr>
              <w:t>28</w:t>
            </w:r>
          </w:p>
        </w:tc>
      </w:tr>
    </w:tbl>
    <w:p w:rsidR="00890EA8" w:rsidRDefault="000876BD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0EA8">
        <w:rPr>
          <w:sz w:val="28"/>
          <w:szCs w:val="28"/>
        </w:rPr>
        <w:t>Таким образом, за 2 учебных года под моим руководством были успешно аттестованы 28 педагогов. Количество педагогов с соответствием занимаемой должности сведено к 1 (п</w:t>
      </w:r>
      <w:r w:rsidR="0080006C">
        <w:rPr>
          <w:sz w:val="28"/>
          <w:szCs w:val="28"/>
        </w:rPr>
        <w:t xml:space="preserve">о причине </w:t>
      </w:r>
      <w:r w:rsidR="004C7268">
        <w:rPr>
          <w:sz w:val="28"/>
          <w:szCs w:val="28"/>
        </w:rPr>
        <w:t xml:space="preserve">позднего </w:t>
      </w:r>
      <w:r w:rsidR="0080006C">
        <w:rPr>
          <w:sz w:val="28"/>
          <w:szCs w:val="28"/>
        </w:rPr>
        <w:t xml:space="preserve">пенсионного возраста: </w:t>
      </w:r>
      <w:r w:rsidR="00890EA8">
        <w:rPr>
          <w:sz w:val="28"/>
          <w:szCs w:val="28"/>
        </w:rPr>
        <w:t>педагог дорабатывает последни</w:t>
      </w:r>
      <w:r w:rsidR="0080006C">
        <w:rPr>
          <w:sz w:val="28"/>
          <w:szCs w:val="28"/>
        </w:rPr>
        <w:t xml:space="preserve">й </w:t>
      </w:r>
      <w:r w:rsidR="009B071D">
        <w:rPr>
          <w:sz w:val="28"/>
          <w:szCs w:val="28"/>
        </w:rPr>
        <w:t xml:space="preserve">учебный </w:t>
      </w:r>
      <w:r w:rsidR="0080006C">
        <w:rPr>
          <w:sz w:val="28"/>
          <w:szCs w:val="28"/>
        </w:rPr>
        <w:t>год и не считает нужным</w:t>
      </w:r>
      <w:r w:rsidR="00890EA8">
        <w:rPr>
          <w:sz w:val="28"/>
          <w:szCs w:val="28"/>
        </w:rPr>
        <w:t xml:space="preserve"> </w:t>
      </w:r>
      <w:proofErr w:type="spellStart"/>
      <w:r w:rsidR="00890EA8">
        <w:rPr>
          <w:sz w:val="28"/>
          <w:szCs w:val="28"/>
        </w:rPr>
        <w:t>аттестовываться</w:t>
      </w:r>
      <w:proofErr w:type="spellEnd"/>
      <w:r w:rsidR="00890EA8">
        <w:rPr>
          <w:sz w:val="28"/>
          <w:szCs w:val="28"/>
        </w:rPr>
        <w:t>), без категории в школе только молодые специалисты со стажем работы до 2 лет.</w:t>
      </w:r>
      <w:r w:rsidR="0080006C">
        <w:rPr>
          <w:sz w:val="28"/>
          <w:szCs w:val="28"/>
        </w:rPr>
        <w:t xml:space="preserve"> </w:t>
      </w:r>
      <w:r w:rsidR="00890EA8">
        <w:rPr>
          <w:sz w:val="28"/>
          <w:szCs w:val="28"/>
        </w:rPr>
        <w:t xml:space="preserve">Все остальные педагоги имеют категории и </w:t>
      </w:r>
      <w:r w:rsidR="0080006C">
        <w:rPr>
          <w:sz w:val="28"/>
          <w:szCs w:val="28"/>
        </w:rPr>
        <w:t xml:space="preserve">ведут достаточно активную деятельность по наполнению </w:t>
      </w:r>
      <w:proofErr w:type="gramStart"/>
      <w:r w:rsidR="0080006C">
        <w:rPr>
          <w:sz w:val="28"/>
          <w:szCs w:val="28"/>
        </w:rPr>
        <w:t>своих</w:t>
      </w:r>
      <w:proofErr w:type="gramEnd"/>
      <w:r w:rsidR="0080006C">
        <w:rPr>
          <w:sz w:val="28"/>
          <w:szCs w:val="28"/>
        </w:rPr>
        <w:t xml:space="preserve"> </w:t>
      </w:r>
      <w:proofErr w:type="spellStart"/>
      <w:r w:rsidR="0080006C">
        <w:rPr>
          <w:sz w:val="28"/>
          <w:szCs w:val="28"/>
        </w:rPr>
        <w:t>Портфолио</w:t>
      </w:r>
      <w:proofErr w:type="spellEnd"/>
      <w:r w:rsidR="0080006C">
        <w:rPr>
          <w:sz w:val="28"/>
          <w:szCs w:val="28"/>
        </w:rPr>
        <w:t xml:space="preserve"> в </w:t>
      </w:r>
      <w:proofErr w:type="spellStart"/>
      <w:r w:rsidR="0080006C">
        <w:rPr>
          <w:sz w:val="28"/>
          <w:szCs w:val="28"/>
        </w:rPr>
        <w:t>межаттестационный</w:t>
      </w:r>
      <w:proofErr w:type="spellEnd"/>
      <w:r w:rsidR="0080006C">
        <w:rPr>
          <w:sz w:val="28"/>
          <w:szCs w:val="28"/>
        </w:rPr>
        <w:t xml:space="preserve"> период.</w:t>
      </w:r>
    </w:p>
    <w:p w:rsidR="001B65D8" w:rsidRDefault="000876BD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006C">
        <w:rPr>
          <w:sz w:val="28"/>
          <w:szCs w:val="28"/>
        </w:rPr>
        <w:t>Как же удалось этого добиться?</w:t>
      </w:r>
      <w:r>
        <w:rPr>
          <w:sz w:val="28"/>
          <w:szCs w:val="28"/>
        </w:rPr>
        <w:t xml:space="preserve"> </w:t>
      </w:r>
      <w:r w:rsidR="00E12176">
        <w:rPr>
          <w:sz w:val="28"/>
          <w:szCs w:val="28"/>
        </w:rPr>
        <w:t xml:space="preserve">Первым и ключевым моментом, считаю разнообразие </w:t>
      </w:r>
      <w:r w:rsidR="00560E6B">
        <w:rPr>
          <w:sz w:val="28"/>
          <w:szCs w:val="28"/>
        </w:rPr>
        <w:t>видов деятельности в ОУ. У</w:t>
      </w:r>
      <w:r w:rsidR="00E12176">
        <w:rPr>
          <w:sz w:val="28"/>
          <w:szCs w:val="28"/>
        </w:rPr>
        <w:t xml:space="preserve"> педагогов достаточно возможностей организовывать</w:t>
      </w:r>
      <w:r w:rsidR="00560E6B">
        <w:rPr>
          <w:sz w:val="28"/>
          <w:szCs w:val="28"/>
        </w:rPr>
        <w:t xml:space="preserve"> </w:t>
      </w:r>
      <w:r w:rsidR="00E12176">
        <w:rPr>
          <w:sz w:val="28"/>
          <w:szCs w:val="28"/>
        </w:rPr>
        <w:t xml:space="preserve"> и участвовать </w:t>
      </w:r>
      <w:proofErr w:type="gramStart"/>
      <w:r w:rsidR="00E12176">
        <w:rPr>
          <w:sz w:val="28"/>
          <w:szCs w:val="28"/>
        </w:rPr>
        <w:t>в</w:t>
      </w:r>
      <w:proofErr w:type="gramEnd"/>
      <w:r w:rsidR="00E12176">
        <w:rPr>
          <w:sz w:val="28"/>
          <w:szCs w:val="28"/>
        </w:rPr>
        <w:t xml:space="preserve"> </w:t>
      </w:r>
      <w:proofErr w:type="gramStart"/>
      <w:r w:rsidR="00560E6B">
        <w:rPr>
          <w:sz w:val="28"/>
          <w:szCs w:val="28"/>
        </w:rPr>
        <w:t>разного</w:t>
      </w:r>
      <w:proofErr w:type="gramEnd"/>
      <w:r w:rsidR="00560E6B">
        <w:rPr>
          <w:sz w:val="28"/>
          <w:szCs w:val="28"/>
        </w:rPr>
        <w:t xml:space="preserve"> рода </w:t>
      </w:r>
      <w:r w:rsidR="00E12176">
        <w:rPr>
          <w:sz w:val="28"/>
          <w:szCs w:val="28"/>
        </w:rPr>
        <w:t xml:space="preserve">мероприятиях школьного  уровня. Ведь именно на уровне школы находится основной ресурс пополнения </w:t>
      </w:r>
      <w:proofErr w:type="spellStart"/>
      <w:r w:rsidR="00E12176">
        <w:rPr>
          <w:sz w:val="28"/>
          <w:szCs w:val="28"/>
        </w:rPr>
        <w:t>Портфолио</w:t>
      </w:r>
      <w:proofErr w:type="spellEnd"/>
      <w:r w:rsidR="00E12176">
        <w:rPr>
          <w:sz w:val="28"/>
          <w:szCs w:val="28"/>
        </w:rPr>
        <w:t xml:space="preserve">. В школе </w:t>
      </w:r>
      <w:r w:rsidR="00560E6B">
        <w:rPr>
          <w:sz w:val="28"/>
          <w:szCs w:val="28"/>
        </w:rPr>
        <w:t>действуют</w:t>
      </w:r>
      <w:r w:rsidR="00E12176">
        <w:rPr>
          <w:sz w:val="28"/>
          <w:szCs w:val="28"/>
        </w:rPr>
        <w:t xml:space="preserve"> разнообразные проблемные и творческие группы, ведут активную работу предметные сообщества, пришедшие на смену методическим объединениям. </w:t>
      </w:r>
      <w:r w:rsidR="001B65D8">
        <w:rPr>
          <w:sz w:val="28"/>
          <w:szCs w:val="28"/>
        </w:rPr>
        <w:t xml:space="preserve">Регулярно проходят учительские конференции, проводятся открытые уроки.  </w:t>
      </w:r>
      <w:r w:rsidR="00E12176">
        <w:rPr>
          <w:sz w:val="28"/>
          <w:szCs w:val="28"/>
        </w:rPr>
        <w:t>Каждый педагог может организовать конкурсы</w:t>
      </w:r>
      <w:proofErr w:type="gramStart"/>
      <w:r w:rsidR="00E12176">
        <w:rPr>
          <w:sz w:val="28"/>
          <w:szCs w:val="28"/>
        </w:rPr>
        <w:t xml:space="preserve"> ,</w:t>
      </w:r>
      <w:proofErr w:type="gramEnd"/>
      <w:r w:rsidR="00E12176">
        <w:rPr>
          <w:sz w:val="28"/>
          <w:szCs w:val="28"/>
        </w:rPr>
        <w:t xml:space="preserve"> игры, соревнования от уровня класса до общешкольного уровня. Школа не только развивает свои проекты, но и активно участвует в различных городских и краевых проектах и привлекает в них учителей и учащихся. </w:t>
      </w:r>
      <w:proofErr w:type="gramStart"/>
      <w:r w:rsidR="00E12176">
        <w:rPr>
          <w:sz w:val="28"/>
          <w:szCs w:val="28"/>
        </w:rPr>
        <w:t>Система мониторинга, имеющаяся в школе позволяет</w:t>
      </w:r>
      <w:proofErr w:type="gramEnd"/>
      <w:r w:rsidR="00E12176">
        <w:rPr>
          <w:sz w:val="28"/>
          <w:szCs w:val="28"/>
        </w:rPr>
        <w:t xml:space="preserve"> отслеживать динамику учебных достижений учащихся и вести коррекционную работу. У учителей есть возможность заниматься внеурочной деятельностью, в школе работает более 12 клубов, ведутся </w:t>
      </w:r>
      <w:r w:rsidR="00E12176">
        <w:rPr>
          <w:sz w:val="28"/>
          <w:szCs w:val="28"/>
        </w:rPr>
        <w:lastRenderedPageBreak/>
        <w:t xml:space="preserve">краткосрочные курсы разной направленности. </w:t>
      </w:r>
      <w:r w:rsidR="00966AA1">
        <w:rPr>
          <w:sz w:val="28"/>
          <w:szCs w:val="28"/>
        </w:rPr>
        <w:t>Проходят масс</w:t>
      </w:r>
      <w:r w:rsidR="001B65D8">
        <w:rPr>
          <w:sz w:val="28"/>
          <w:szCs w:val="28"/>
        </w:rPr>
        <w:t xml:space="preserve">а интересных мероприятий в рамках реализации Программы развития школы "Школа Маркетинга". </w:t>
      </w:r>
    </w:p>
    <w:p w:rsidR="001B65D8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B65D8">
        <w:rPr>
          <w:sz w:val="28"/>
          <w:szCs w:val="28"/>
        </w:rPr>
        <w:t xml:space="preserve">Не последнюю </w:t>
      </w:r>
      <w:r w:rsidR="002D61B7">
        <w:rPr>
          <w:sz w:val="28"/>
          <w:szCs w:val="28"/>
        </w:rPr>
        <w:t xml:space="preserve">роль </w:t>
      </w:r>
      <w:r w:rsidR="00E12176">
        <w:rPr>
          <w:sz w:val="28"/>
          <w:szCs w:val="28"/>
        </w:rPr>
        <w:t>при этом всём играет</w:t>
      </w:r>
      <w:r w:rsidR="002D61B7">
        <w:rPr>
          <w:sz w:val="28"/>
          <w:szCs w:val="28"/>
        </w:rPr>
        <w:t xml:space="preserve"> и система стимулирования в ОУ, которая поощряет продвижение педагогов в различных направлениях и способствует   активному стремлению учителей к до</w:t>
      </w:r>
      <w:r w:rsidR="00E12176">
        <w:rPr>
          <w:sz w:val="28"/>
          <w:szCs w:val="28"/>
        </w:rPr>
        <w:t>стижениям своим и своих учеников.</w:t>
      </w:r>
      <w:r w:rsidR="001B65D8">
        <w:rPr>
          <w:sz w:val="28"/>
          <w:szCs w:val="28"/>
        </w:rPr>
        <w:t xml:space="preserve">  </w:t>
      </w:r>
    </w:p>
    <w:p w:rsidR="000876BD" w:rsidRPr="000876BD" w:rsidRDefault="00966AA1" w:rsidP="000B49C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B65D8">
        <w:rPr>
          <w:sz w:val="28"/>
          <w:szCs w:val="28"/>
        </w:rPr>
        <w:t xml:space="preserve"> </w:t>
      </w:r>
      <w:r w:rsidR="001B65D8" w:rsidRPr="000876BD">
        <w:rPr>
          <w:rFonts w:ascii="Times New Roman" w:hAnsi="Times New Roman" w:cs="Times New Roman"/>
          <w:sz w:val="28"/>
          <w:szCs w:val="28"/>
        </w:rPr>
        <w:t xml:space="preserve">Но широкий спектр возможностей  может остаться нереализованным, когда перед педагогами не стоят чёткие понятные цели, не простроен план подготовки к аттестации. </w:t>
      </w:r>
      <w:r w:rsidR="000876BD" w:rsidRPr="000876BD">
        <w:rPr>
          <w:rFonts w:ascii="Times New Roman" w:hAnsi="Times New Roman" w:cs="Times New Roman"/>
          <w:sz w:val="28"/>
          <w:szCs w:val="28"/>
        </w:rPr>
        <w:t xml:space="preserve"> </w:t>
      </w:r>
      <w:r w:rsidR="000876BD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="000876BD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0876BD">
        <w:rPr>
          <w:rFonts w:ascii="Times New Roman" w:hAnsi="Times New Roman" w:cs="Times New Roman"/>
          <w:sz w:val="28"/>
          <w:szCs w:val="28"/>
        </w:rPr>
        <w:t xml:space="preserve"> была создана Модель сопровождения аттестации, механизмами реализации которой стали:</w:t>
      </w:r>
    </w:p>
    <w:p w:rsidR="000876BD" w:rsidRPr="000876BD" w:rsidRDefault="000876BD" w:rsidP="000B49C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BD">
        <w:rPr>
          <w:rFonts w:ascii="Times New Roman" w:hAnsi="Times New Roman" w:cs="Times New Roman"/>
          <w:sz w:val="28"/>
          <w:szCs w:val="28"/>
        </w:rPr>
        <w:t>Мониторинг: диагностика, выявление потребностей</w:t>
      </w:r>
    </w:p>
    <w:p w:rsidR="000876BD" w:rsidRPr="000876BD" w:rsidRDefault="000876BD" w:rsidP="000B49C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BD">
        <w:rPr>
          <w:rFonts w:ascii="Times New Roman" w:hAnsi="Times New Roman" w:cs="Times New Roman"/>
          <w:sz w:val="28"/>
          <w:szCs w:val="28"/>
        </w:rPr>
        <w:t>Планирование деятельности на учебный год: составление инд. плана</w:t>
      </w:r>
    </w:p>
    <w:p w:rsidR="000876BD" w:rsidRPr="000876BD" w:rsidRDefault="000876BD" w:rsidP="000B49C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BD">
        <w:rPr>
          <w:rFonts w:ascii="Times New Roman" w:hAnsi="Times New Roman" w:cs="Times New Roman"/>
          <w:sz w:val="28"/>
          <w:szCs w:val="28"/>
        </w:rPr>
        <w:t xml:space="preserve">Информационное обеспечение (стенд, рассылка, консультации, </w:t>
      </w:r>
      <w:proofErr w:type="spellStart"/>
      <w:r w:rsidRPr="000876BD">
        <w:rPr>
          <w:rFonts w:ascii="Times New Roman" w:hAnsi="Times New Roman" w:cs="Times New Roman"/>
          <w:sz w:val="28"/>
          <w:szCs w:val="28"/>
        </w:rPr>
        <w:t>педсовещания</w:t>
      </w:r>
      <w:proofErr w:type="spellEnd"/>
      <w:r w:rsidRPr="000876BD">
        <w:rPr>
          <w:rFonts w:ascii="Times New Roman" w:hAnsi="Times New Roman" w:cs="Times New Roman"/>
          <w:sz w:val="28"/>
          <w:szCs w:val="28"/>
        </w:rPr>
        <w:t>)</w:t>
      </w:r>
    </w:p>
    <w:p w:rsidR="000876BD" w:rsidRPr="000876BD" w:rsidRDefault="000876BD" w:rsidP="000B49C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BD">
        <w:rPr>
          <w:rFonts w:ascii="Times New Roman" w:hAnsi="Times New Roman" w:cs="Times New Roman"/>
          <w:sz w:val="28"/>
          <w:szCs w:val="28"/>
        </w:rPr>
        <w:t>Повышение квалификации (курсы, семинары)</w:t>
      </w:r>
    </w:p>
    <w:p w:rsidR="000876BD" w:rsidRPr="000876BD" w:rsidRDefault="000876BD" w:rsidP="000B49C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BD">
        <w:rPr>
          <w:rFonts w:ascii="Times New Roman" w:hAnsi="Times New Roman" w:cs="Times New Roman"/>
          <w:sz w:val="28"/>
          <w:szCs w:val="28"/>
        </w:rPr>
        <w:t xml:space="preserve">Распространение опыта (мастер-классы, конференции, МО, ГПГ, публикации и </w:t>
      </w:r>
      <w:proofErr w:type="spellStart"/>
      <w:proofErr w:type="gramStart"/>
      <w:r w:rsidRPr="000876BD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0876BD">
        <w:rPr>
          <w:rFonts w:ascii="Times New Roman" w:hAnsi="Times New Roman" w:cs="Times New Roman"/>
          <w:sz w:val="28"/>
          <w:szCs w:val="28"/>
        </w:rPr>
        <w:t>)</w:t>
      </w:r>
    </w:p>
    <w:p w:rsidR="000876BD" w:rsidRPr="000876BD" w:rsidRDefault="000876BD" w:rsidP="000B49C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76BD">
        <w:rPr>
          <w:rFonts w:ascii="Times New Roman" w:hAnsi="Times New Roman" w:cs="Times New Roman"/>
          <w:sz w:val="28"/>
          <w:szCs w:val="28"/>
        </w:rPr>
        <w:t>Контроль готовн</w:t>
      </w:r>
      <w:r w:rsidR="009B071D">
        <w:rPr>
          <w:rFonts w:ascii="Times New Roman" w:hAnsi="Times New Roman" w:cs="Times New Roman"/>
          <w:sz w:val="28"/>
          <w:szCs w:val="28"/>
        </w:rPr>
        <w:t xml:space="preserve">ости к аттестации и заполнения </w:t>
      </w:r>
      <w:proofErr w:type="spellStart"/>
      <w:r w:rsidR="009B071D">
        <w:rPr>
          <w:rFonts w:ascii="Times New Roman" w:hAnsi="Times New Roman" w:cs="Times New Roman"/>
          <w:sz w:val="28"/>
          <w:szCs w:val="28"/>
        </w:rPr>
        <w:t>П</w:t>
      </w:r>
      <w:r w:rsidRPr="000876BD">
        <w:rPr>
          <w:rFonts w:ascii="Times New Roman" w:hAnsi="Times New Roman" w:cs="Times New Roman"/>
          <w:sz w:val="28"/>
          <w:szCs w:val="28"/>
        </w:rPr>
        <w:t>ортфолио</w:t>
      </w:r>
      <w:proofErr w:type="spellEnd"/>
      <w:r w:rsidRPr="000876BD">
        <w:rPr>
          <w:rFonts w:ascii="Times New Roman" w:hAnsi="Times New Roman" w:cs="Times New Roman"/>
          <w:sz w:val="28"/>
          <w:szCs w:val="28"/>
        </w:rPr>
        <w:t xml:space="preserve"> по всем разделам.</w:t>
      </w:r>
    </w:p>
    <w:p w:rsidR="002D61B7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76BD">
        <w:rPr>
          <w:sz w:val="28"/>
          <w:szCs w:val="28"/>
        </w:rPr>
        <w:t xml:space="preserve">Выстраивая систему работы с педагогами по этой модели, я разделила её на 2 направления: работу с учителями - </w:t>
      </w:r>
      <w:proofErr w:type="spellStart"/>
      <w:r w:rsidR="001B65D8">
        <w:rPr>
          <w:sz w:val="28"/>
          <w:szCs w:val="28"/>
        </w:rPr>
        <w:t>стажистами</w:t>
      </w:r>
      <w:proofErr w:type="spellEnd"/>
      <w:r w:rsidR="001B65D8">
        <w:rPr>
          <w:sz w:val="28"/>
          <w:szCs w:val="28"/>
        </w:rPr>
        <w:t xml:space="preserve"> и работу с молодыми специалистами. </w:t>
      </w:r>
    </w:p>
    <w:p w:rsidR="00810A92" w:rsidRDefault="00E12176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10A92">
        <w:rPr>
          <w:sz w:val="28"/>
          <w:szCs w:val="28"/>
        </w:rPr>
        <w:t xml:space="preserve">. Методическое сопровождение </w:t>
      </w:r>
      <w:proofErr w:type="spellStart"/>
      <w:r w:rsidR="00810A92">
        <w:rPr>
          <w:sz w:val="28"/>
          <w:szCs w:val="28"/>
        </w:rPr>
        <w:t>педагогов-стажистов</w:t>
      </w:r>
      <w:proofErr w:type="spellEnd"/>
      <w:r w:rsidR="00810A92">
        <w:rPr>
          <w:sz w:val="28"/>
          <w:szCs w:val="28"/>
        </w:rPr>
        <w:t>.</w:t>
      </w:r>
    </w:p>
    <w:p w:rsidR="001B65D8" w:rsidRDefault="00560E6B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0A92">
        <w:rPr>
          <w:sz w:val="28"/>
          <w:szCs w:val="28"/>
        </w:rPr>
        <w:t xml:space="preserve">Поскольку в основной проблемой, с которой  я </w:t>
      </w:r>
      <w:proofErr w:type="gramStart"/>
      <w:r w:rsidR="00810A92">
        <w:rPr>
          <w:sz w:val="28"/>
          <w:szCs w:val="28"/>
        </w:rPr>
        <w:t>столкнулась</w:t>
      </w:r>
      <w:proofErr w:type="gramEnd"/>
      <w:r w:rsidR="00810A92">
        <w:rPr>
          <w:sz w:val="28"/>
          <w:szCs w:val="28"/>
        </w:rPr>
        <w:t xml:space="preserve"> были именно учителя с большим стажем работы, </w:t>
      </w:r>
      <w:r w:rsidR="000876BD">
        <w:rPr>
          <w:sz w:val="28"/>
          <w:szCs w:val="28"/>
        </w:rPr>
        <w:t>имевшие</w:t>
      </w:r>
      <w:r w:rsidR="006137F2">
        <w:rPr>
          <w:sz w:val="28"/>
          <w:szCs w:val="28"/>
        </w:rPr>
        <w:t xml:space="preserve"> достаточное количество раз</w:t>
      </w:r>
      <w:r w:rsidR="000876BD">
        <w:rPr>
          <w:sz w:val="28"/>
          <w:szCs w:val="28"/>
        </w:rPr>
        <w:t>личных достижений, но не имевшие</w:t>
      </w:r>
      <w:r w:rsidR="00810A92">
        <w:rPr>
          <w:sz w:val="28"/>
          <w:szCs w:val="28"/>
        </w:rPr>
        <w:t xml:space="preserve"> категорию, первым и самым важным этапом работы было проведение </w:t>
      </w:r>
      <w:r w:rsidR="006137F2">
        <w:rPr>
          <w:sz w:val="28"/>
          <w:szCs w:val="28"/>
        </w:rPr>
        <w:t xml:space="preserve"> в октябре 2016 года </w:t>
      </w:r>
      <w:r w:rsidR="00810A92">
        <w:rPr>
          <w:sz w:val="28"/>
          <w:szCs w:val="28"/>
        </w:rPr>
        <w:t xml:space="preserve">семинара "Аттестация", где разъяснялась работа по </w:t>
      </w:r>
      <w:r w:rsidR="006137F2">
        <w:rPr>
          <w:sz w:val="28"/>
          <w:szCs w:val="28"/>
        </w:rPr>
        <w:t xml:space="preserve">систематизации накопленных материалов и </w:t>
      </w:r>
      <w:r w:rsidR="00810A92">
        <w:rPr>
          <w:sz w:val="28"/>
          <w:szCs w:val="28"/>
        </w:rPr>
        <w:t xml:space="preserve">заполнению сайта </w:t>
      </w:r>
      <w:proofErr w:type="spellStart"/>
      <w:r w:rsidR="00810A92">
        <w:rPr>
          <w:sz w:val="28"/>
          <w:szCs w:val="28"/>
        </w:rPr>
        <w:t>Портфолио</w:t>
      </w:r>
      <w:proofErr w:type="spellEnd"/>
      <w:r w:rsidR="006137F2">
        <w:rPr>
          <w:sz w:val="28"/>
          <w:szCs w:val="28"/>
        </w:rPr>
        <w:t xml:space="preserve">. </w:t>
      </w:r>
      <w:proofErr w:type="gramStart"/>
      <w:r w:rsidR="00966AA1">
        <w:rPr>
          <w:sz w:val="28"/>
          <w:szCs w:val="28"/>
        </w:rPr>
        <w:t>(Приложение 1.</w:t>
      </w:r>
      <w:proofErr w:type="gramEnd"/>
      <w:r w:rsidR="00966AA1">
        <w:rPr>
          <w:sz w:val="28"/>
          <w:szCs w:val="28"/>
        </w:rPr>
        <w:t xml:space="preserve"> </w:t>
      </w:r>
      <w:proofErr w:type="gramStart"/>
      <w:r w:rsidR="00966AA1">
        <w:rPr>
          <w:sz w:val="28"/>
          <w:szCs w:val="28"/>
        </w:rPr>
        <w:t>Презентация к совещанию)</w:t>
      </w:r>
      <w:proofErr w:type="gramEnd"/>
    </w:p>
    <w:p w:rsidR="001B65D8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137F2">
        <w:rPr>
          <w:sz w:val="28"/>
          <w:szCs w:val="28"/>
        </w:rPr>
        <w:t xml:space="preserve">В презентации были подробно представлены все пункты </w:t>
      </w:r>
      <w:proofErr w:type="spellStart"/>
      <w:r w:rsidR="006137F2">
        <w:rPr>
          <w:sz w:val="28"/>
          <w:szCs w:val="28"/>
        </w:rPr>
        <w:t>Портфолио</w:t>
      </w:r>
      <w:proofErr w:type="spellEnd"/>
      <w:r w:rsidR="006137F2">
        <w:rPr>
          <w:sz w:val="28"/>
          <w:szCs w:val="28"/>
        </w:rPr>
        <w:t xml:space="preserve"> педагога и перечислены все возможные варианты подтверждающих документов, которые можно было бы прикрепить в различные разделы. Также были разобраны все формулировки записей для всех разделов сайта. </w:t>
      </w:r>
      <w:r w:rsidR="001B65D8">
        <w:rPr>
          <w:sz w:val="28"/>
          <w:szCs w:val="28"/>
        </w:rPr>
        <w:t>Получение чётких инструкции</w:t>
      </w:r>
      <w:r w:rsidR="006137F2">
        <w:rPr>
          <w:sz w:val="28"/>
          <w:szCs w:val="28"/>
        </w:rPr>
        <w:t xml:space="preserve"> </w:t>
      </w:r>
      <w:r w:rsidR="001B65D8">
        <w:rPr>
          <w:sz w:val="28"/>
          <w:szCs w:val="28"/>
        </w:rPr>
        <w:t>сняло напряжение, имеющееся у педагогов по поводу работы с сайтом, и результатом работы стала аттестация максимально возможного в том учебном году количества педагогов.</w:t>
      </w:r>
    </w:p>
    <w:p w:rsidR="000876BD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6137F2">
        <w:rPr>
          <w:sz w:val="28"/>
          <w:szCs w:val="28"/>
        </w:rPr>
        <w:t xml:space="preserve">Подобное </w:t>
      </w:r>
      <w:r w:rsidR="009B071D">
        <w:rPr>
          <w:sz w:val="28"/>
          <w:szCs w:val="28"/>
        </w:rPr>
        <w:t xml:space="preserve">информационное </w:t>
      </w:r>
      <w:r w:rsidR="006137F2">
        <w:rPr>
          <w:sz w:val="28"/>
          <w:szCs w:val="28"/>
        </w:rPr>
        <w:t>совещание было повторено и в октябре 2017 года, но только для специально приглашённых учителей, кого планировалось провести через процедуру аттестации. Кроме информационной помощи по заполнению сайта с каждым педагогом также была проведена индивидуальная работа по обсуждению его проблемных  блоков, составлен план подготовки к аттестации и в течени</w:t>
      </w:r>
      <w:proofErr w:type="gramStart"/>
      <w:r w:rsidR="006137F2">
        <w:rPr>
          <w:sz w:val="28"/>
          <w:szCs w:val="28"/>
        </w:rPr>
        <w:t>и</w:t>
      </w:r>
      <w:proofErr w:type="gramEnd"/>
      <w:r w:rsidR="006137F2">
        <w:rPr>
          <w:sz w:val="28"/>
          <w:szCs w:val="28"/>
        </w:rPr>
        <w:t xml:space="preserve"> всего учебного года они имели возможность консультироваться по </w:t>
      </w:r>
      <w:r>
        <w:rPr>
          <w:sz w:val="28"/>
          <w:szCs w:val="28"/>
        </w:rPr>
        <w:t>вопросам подготовки к ней</w:t>
      </w:r>
      <w:r w:rsidR="006137F2">
        <w:rPr>
          <w:sz w:val="28"/>
          <w:szCs w:val="28"/>
        </w:rPr>
        <w:t xml:space="preserve">. </w:t>
      </w:r>
    </w:p>
    <w:p w:rsidR="0080006C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76BD">
        <w:rPr>
          <w:sz w:val="28"/>
          <w:szCs w:val="28"/>
        </w:rPr>
        <w:t xml:space="preserve">Большое внимание было уделено педагогам уже имеющим первую категорию.  Многих из них удалось </w:t>
      </w:r>
      <w:proofErr w:type="spellStart"/>
      <w:r w:rsidR="000876BD">
        <w:rPr>
          <w:sz w:val="28"/>
          <w:szCs w:val="28"/>
        </w:rPr>
        <w:t>замотивировать</w:t>
      </w:r>
      <w:proofErr w:type="spellEnd"/>
      <w:r w:rsidR="000876BD">
        <w:rPr>
          <w:sz w:val="28"/>
          <w:szCs w:val="28"/>
        </w:rPr>
        <w:t xml:space="preserve"> на целенаправленную работу по повышению категории, была оказана консультационная помощь по заполнению дополнительных для высшей категории разделов. </w:t>
      </w:r>
    </w:p>
    <w:p w:rsidR="00E12176" w:rsidRDefault="000876BD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2176">
        <w:rPr>
          <w:sz w:val="28"/>
          <w:szCs w:val="28"/>
        </w:rPr>
        <w:t>.</w:t>
      </w:r>
      <w:r w:rsidR="009B071D">
        <w:rPr>
          <w:sz w:val="28"/>
          <w:szCs w:val="28"/>
        </w:rPr>
        <w:t xml:space="preserve"> </w:t>
      </w:r>
      <w:r w:rsidR="00E12176">
        <w:rPr>
          <w:sz w:val="28"/>
          <w:szCs w:val="28"/>
        </w:rPr>
        <w:t>Методическое сопровождение молодых специалистов.</w:t>
      </w:r>
    </w:p>
    <w:p w:rsidR="00E12176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2176">
        <w:rPr>
          <w:sz w:val="28"/>
          <w:szCs w:val="28"/>
        </w:rPr>
        <w:t xml:space="preserve">Проблема удержания в школе молодых специалистов стоит достаточно остро, поэтому важно </w:t>
      </w:r>
      <w:proofErr w:type="gramStart"/>
      <w:r w:rsidR="00E12176">
        <w:rPr>
          <w:sz w:val="28"/>
          <w:szCs w:val="28"/>
        </w:rPr>
        <w:t>помогать им максимально раскры</w:t>
      </w:r>
      <w:r w:rsidR="00E12176" w:rsidRPr="009D1082">
        <w:rPr>
          <w:sz w:val="28"/>
          <w:szCs w:val="28"/>
        </w:rPr>
        <w:t>т</w:t>
      </w:r>
      <w:r w:rsidR="00E12176">
        <w:rPr>
          <w:sz w:val="28"/>
          <w:szCs w:val="28"/>
        </w:rPr>
        <w:t>ь</w:t>
      </w:r>
      <w:proofErr w:type="gramEnd"/>
      <w:r w:rsidR="00E12176" w:rsidRPr="009D1082">
        <w:rPr>
          <w:sz w:val="28"/>
          <w:szCs w:val="28"/>
        </w:rPr>
        <w:t xml:space="preserve"> свой потенциал</w:t>
      </w:r>
      <w:r w:rsidR="00E12176">
        <w:rPr>
          <w:sz w:val="28"/>
          <w:szCs w:val="28"/>
        </w:rPr>
        <w:t>, созда</w:t>
      </w:r>
      <w:r w:rsidR="00E12176" w:rsidRPr="009D1082">
        <w:rPr>
          <w:sz w:val="28"/>
          <w:szCs w:val="28"/>
        </w:rPr>
        <w:t xml:space="preserve">ть условия для развития внутренних мотивов </w:t>
      </w:r>
      <w:r w:rsidR="009B071D">
        <w:rPr>
          <w:sz w:val="28"/>
          <w:szCs w:val="28"/>
        </w:rPr>
        <w:t>самореализации</w:t>
      </w:r>
      <w:r w:rsidR="00E12176">
        <w:rPr>
          <w:sz w:val="28"/>
          <w:szCs w:val="28"/>
        </w:rPr>
        <w:t>. При этом аттестация как материальный и психологический стимул играет одну из ключевых ролей, мотивируя молодых педагогов на достижение поставленных</w:t>
      </w:r>
      <w:r w:rsidR="009B071D">
        <w:rPr>
          <w:sz w:val="28"/>
          <w:szCs w:val="28"/>
        </w:rPr>
        <w:t xml:space="preserve"> в работе целей</w:t>
      </w:r>
      <w:r w:rsidR="00E12176">
        <w:rPr>
          <w:sz w:val="28"/>
          <w:szCs w:val="28"/>
        </w:rPr>
        <w:t>.</w:t>
      </w:r>
    </w:p>
    <w:p w:rsidR="00E12176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2176">
        <w:rPr>
          <w:sz w:val="28"/>
          <w:szCs w:val="28"/>
        </w:rPr>
        <w:t xml:space="preserve">В нашей школе </w:t>
      </w:r>
      <w:r>
        <w:rPr>
          <w:sz w:val="28"/>
          <w:szCs w:val="28"/>
        </w:rPr>
        <w:t xml:space="preserve">сейчас </w:t>
      </w:r>
      <w:r w:rsidR="00E12176">
        <w:rPr>
          <w:sz w:val="28"/>
          <w:szCs w:val="28"/>
        </w:rPr>
        <w:t>сложил</w:t>
      </w:r>
      <w:r>
        <w:rPr>
          <w:sz w:val="28"/>
          <w:szCs w:val="28"/>
        </w:rPr>
        <w:t>ась устойчивая система</w:t>
      </w:r>
      <w:r w:rsidR="00E12176">
        <w:rPr>
          <w:sz w:val="28"/>
          <w:szCs w:val="28"/>
        </w:rPr>
        <w:t xml:space="preserve">, при которой молодые специалисты имеют возможность аттестоваться уже в конце второго года работы. С каждым молодым педагогом при приёме на работу проводится собеседование, на котором расставляются </w:t>
      </w:r>
      <w:proofErr w:type="gramStart"/>
      <w:r w:rsidR="00E12176">
        <w:rPr>
          <w:sz w:val="28"/>
          <w:szCs w:val="28"/>
        </w:rPr>
        <w:t>приоритеты</w:t>
      </w:r>
      <w:proofErr w:type="gramEnd"/>
      <w:r w:rsidR="00E12176">
        <w:rPr>
          <w:sz w:val="28"/>
          <w:szCs w:val="28"/>
        </w:rPr>
        <w:t xml:space="preserve"> на ближайшее профессиональное развитие. При этом начинающий учитель совместно с заместителем директора по УП составляет план подготовки к аттестации, который включает прорабатывание всех пунктов </w:t>
      </w:r>
      <w:proofErr w:type="spellStart"/>
      <w:r w:rsidR="00E12176">
        <w:rPr>
          <w:sz w:val="28"/>
          <w:szCs w:val="28"/>
        </w:rPr>
        <w:t>Портфолио</w:t>
      </w:r>
      <w:proofErr w:type="spellEnd"/>
      <w:r w:rsidR="00E12176">
        <w:rPr>
          <w:sz w:val="28"/>
          <w:szCs w:val="28"/>
        </w:rPr>
        <w:t xml:space="preserve"> и обсуждаются варианты повышения квалификации. </w:t>
      </w:r>
      <w:r w:rsidR="00560E6B">
        <w:rPr>
          <w:sz w:val="28"/>
          <w:szCs w:val="28"/>
        </w:rPr>
        <w:t>Каждому учителю выдаётся буклет-памятка "12 шагов к успешной аттестации" (Приложение 2).</w:t>
      </w:r>
    </w:p>
    <w:p w:rsidR="00E12176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2176">
        <w:rPr>
          <w:sz w:val="28"/>
          <w:szCs w:val="28"/>
        </w:rPr>
        <w:t xml:space="preserve">Определяется перечень мероприятий, обязательных для участия, куда входят конкурсы </w:t>
      </w:r>
      <w:proofErr w:type="spellStart"/>
      <w:r w:rsidR="00E12176">
        <w:rPr>
          <w:sz w:val="28"/>
          <w:szCs w:val="28"/>
        </w:rPr>
        <w:t>профмастерства</w:t>
      </w:r>
      <w:proofErr w:type="spellEnd"/>
      <w:r w:rsidR="00E12176">
        <w:rPr>
          <w:sz w:val="28"/>
          <w:szCs w:val="28"/>
        </w:rPr>
        <w:t xml:space="preserve">,  проблемные и временные творческие  группы и всё, что важно для пополнения </w:t>
      </w:r>
      <w:proofErr w:type="spellStart"/>
      <w:r w:rsidR="00E12176">
        <w:rPr>
          <w:sz w:val="28"/>
          <w:szCs w:val="28"/>
        </w:rPr>
        <w:t>Портфолио</w:t>
      </w:r>
      <w:proofErr w:type="spellEnd"/>
      <w:r w:rsidR="00E12176">
        <w:rPr>
          <w:sz w:val="28"/>
          <w:szCs w:val="28"/>
        </w:rPr>
        <w:t xml:space="preserve">. Устанавливаются  сроки, в которые педагог </w:t>
      </w:r>
      <w:proofErr w:type="gramStart"/>
      <w:r w:rsidR="00E12176">
        <w:rPr>
          <w:sz w:val="28"/>
          <w:szCs w:val="28"/>
        </w:rPr>
        <w:t>отчитывается о выполнении</w:t>
      </w:r>
      <w:proofErr w:type="gramEnd"/>
      <w:r w:rsidR="00E12176">
        <w:rPr>
          <w:sz w:val="28"/>
          <w:szCs w:val="28"/>
        </w:rPr>
        <w:t xml:space="preserve"> плана. Также каждому молодому педагогу выделяется наставник из числа высококвалифицированных учителей, которые помогают им и корректируют деятельность.  В конце каждой четверти каждый молодой учитель на заседании наставников и молодых специалистов представляет папку своих достижений за четверть. На заседании обсуждаются проблемы, даются рекомендации, обсуждаются дальнейшие действия. </w:t>
      </w:r>
    </w:p>
    <w:p w:rsidR="00E12176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2176">
        <w:rPr>
          <w:sz w:val="28"/>
          <w:szCs w:val="28"/>
        </w:rPr>
        <w:t xml:space="preserve">Каждый молодой специалист получает возможность раскрыть  свои  способности  и  в рамках реализации Программы развития школы. Как и все </w:t>
      </w:r>
      <w:r w:rsidR="00E12176">
        <w:rPr>
          <w:sz w:val="28"/>
          <w:szCs w:val="28"/>
        </w:rPr>
        <w:lastRenderedPageBreak/>
        <w:t xml:space="preserve">остальные учителя школы, молодёжь участвует в проведении уроков с маркетинговым компонентом, организует интерактивные перемены и мастер-классы, ведёт активную образовательную деятельность в </w:t>
      </w:r>
      <w:proofErr w:type="spellStart"/>
      <w:r w:rsidR="00E12176">
        <w:rPr>
          <w:sz w:val="28"/>
          <w:szCs w:val="28"/>
        </w:rPr>
        <w:t>соцсетях</w:t>
      </w:r>
      <w:proofErr w:type="spellEnd"/>
      <w:r w:rsidR="00E12176">
        <w:rPr>
          <w:sz w:val="28"/>
          <w:szCs w:val="28"/>
        </w:rPr>
        <w:t xml:space="preserve">, что способствует  также и повышению их методической компетентности. </w:t>
      </w:r>
    </w:p>
    <w:p w:rsidR="001B65D8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B65D8">
        <w:rPr>
          <w:sz w:val="28"/>
          <w:szCs w:val="28"/>
        </w:rPr>
        <w:t xml:space="preserve">К концу первого учебного года работы, молодые учителя, как правило, имеют уже достаточно много наработок и чётко понимают, что им нужно сделать в следующем учебном году, чтобы успешно аттестоваться на 1 категорию. И проанализировав необходимые направления, работают над своим </w:t>
      </w:r>
      <w:proofErr w:type="spellStart"/>
      <w:r w:rsidR="001B65D8">
        <w:rPr>
          <w:sz w:val="28"/>
          <w:szCs w:val="28"/>
        </w:rPr>
        <w:t>Портфолио</w:t>
      </w:r>
      <w:proofErr w:type="spellEnd"/>
      <w:r w:rsidR="001B65D8">
        <w:rPr>
          <w:sz w:val="28"/>
          <w:szCs w:val="28"/>
        </w:rPr>
        <w:t xml:space="preserve"> точечно, чтобы обеспечить необходимое количество материалов для аттестации весь второй учебный год. Таким образом, </w:t>
      </w:r>
      <w:r w:rsidR="000876BD">
        <w:rPr>
          <w:sz w:val="28"/>
          <w:szCs w:val="28"/>
        </w:rPr>
        <w:t>все молодые специалисты, оста</w:t>
      </w:r>
      <w:r w:rsidR="009B071D">
        <w:rPr>
          <w:sz w:val="28"/>
          <w:szCs w:val="28"/>
        </w:rPr>
        <w:t xml:space="preserve">ющиеся работать в школе, </w:t>
      </w:r>
      <w:r w:rsidR="000876BD">
        <w:rPr>
          <w:sz w:val="28"/>
          <w:szCs w:val="28"/>
        </w:rPr>
        <w:t xml:space="preserve"> проходят аттестацию на первую категорию через 2 года работы.</w:t>
      </w:r>
    </w:p>
    <w:p w:rsidR="00966AA1" w:rsidRPr="00966AA1" w:rsidRDefault="00966AA1" w:rsidP="000B49C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 </w:t>
      </w:r>
      <w:proofErr w:type="spellStart"/>
      <w:r>
        <w:rPr>
          <w:sz w:val="28"/>
          <w:szCs w:val="28"/>
        </w:rPr>
        <w:t>учителя-</w:t>
      </w:r>
      <w:r w:rsidR="00560E6B">
        <w:rPr>
          <w:sz w:val="28"/>
          <w:szCs w:val="28"/>
        </w:rPr>
        <w:t>стажисты</w:t>
      </w:r>
      <w:proofErr w:type="spellEnd"/>
      <w:r w:rsidR="00560E6B">
        <w:rPr>
          <w:sz w:val="28"/>
          <w:szCs w:val="28"/>
        </w:rPr>
        <w:t>,</w:t>
      </w:r>
      <w:r>
        <w:rPr>
          <w:sz w:val="28"/>
          <w:szCs w:val="28"/>
        </w:rPr>
        <w:t xml:space="preserve"> и молодые педагоги, планирующие аттестацию</w:t>
      </w:r>
      <w:r w:rsidR="00560E6B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работают по единому </w:t>
      </w:r>
      <w:r w:rsidRPr="00966AA1">
        <w:rPr>
          <w:b/>
          <w:sz w:val="28"/>
          <w:szCs w:val="28"/>
        </w:rPr>
        <w:t>плану методического сопровождения:</w:t>
      </w:r>
    </w:p>
    <w:tbl>
      <w:tblPr>
        <w:tblStyle w:val="a5"/>
        <w:tblpPr w:leftFromText="180" w:rightFromText="180" w:vertAnchor="text" w:horzAnchor="margin" w:tblpY="70"/>
        <w:tblW w:w="0" w:type="auto"/>
        <w:tblLook w:val="04A0"/>
      </w:tblPr>
      <w:tblGrid>
        <w:gridCol w:w="2433"/>
        <w:gridCol w:w="2920"/>
        <w:gridCol w:w="1587"/>
        <w:gridCol w:w="1938"/>
      </w:tblGrid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работы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Мотивирование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Инд. беседа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Диагностика потребностей и возможностей педагога</w:t>
            </w:r>
          </w:p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уроков, их анализ и самоанализ. </w:t>
            </w:r>
          </w:p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 деятельности.</w:t>
            </w:r>
          </w:p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Определение целей и задач на текущий учебный год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4C7268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</w:t>
            </w:r>
            <w:r w:rsidR="00966AA1" w:rsidRPr="00966AA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Инд. беседы и консультации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Информирование педагога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gram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овещания по аттестации и  инд. консультации; информирование о мероприятиях, участие в которых необходимо для аттестации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Психологическая поддержка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Тренинги и психологическая помощь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Курсовая подготовка, семинары (в т.ч. в ОУ)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конкурсах, НПК, соревнованиях, мастер-классах и </w:t>
            </w:r>
            <w:proofErr w:type="spellStart"/>
            <w:proofErr w:type="gram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Трансляция опыта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Выступления на ГПГ, семинарах, мастер-классах, в конкурсах, публикации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 2,3 четверть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детьми</w:t>
            </w:r>
          </w:p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Конкурсы, олимпиады, фестивали и </w:t>
            </w:r>
            <w:proofErr w:type="spell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Работа с родителями и соц. партнёрами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proofErr w:type="gram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обрания и инд. консультации, совместные мероприятия с детьми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 учебного года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ИОП</w:t>
            </w:r>
          </w:p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Контрольная диагностика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 четверти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Первичная экспертиза аттестационных материалов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 наполняемости </w:t>
            </w:r>
            <w:proofErr w:type="spell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Конец учебного года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AA1" w:rsidTr="00966AA1">
        <w:tc>
          <w:tcPr>
            <w:tcW w:w="2433" w:type="dxa"/>
          </w:tcPr>
          <w:p w:rsidR="00966AA1" w:rsidRPr="00966AA1" w:rsidRDefault="00966AA1" w:rsidP="000B49C9">
            <w:pPr>
              <w:ind w:left="-11"/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Анализ и планирование</w:t>
            </w:r>
          </w:p>
        </w:tc>
        <w:tc>
          <w:tcPr>
            <w:tcW w:w="2920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Анализ работы за год и планирование метод</w:t>
            </w:r>
            <w:proofErr w:type="gram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опровождения на след. учеб год</w:t>
            </w:r>
          </w:p>
        </w:tc>
        <w:tc>
          <w:tcPr>
            <w:tcW w:w="1587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AA1">
              <w:rPr>
                <w:rFonts w:ascii="Times New Roman" w:hAnsi="Times New Roman" w:cs="Times New Roman"/>
                <w:sz w:val="24"/>
                <w:szCs w:val="24"/>
              </w:rPr>
              <w:t>Конец учебного года</w:t>
            </w:r>
          </w:p>
        </w:tc>
        <w:tc>
          <w:tcPr>
            <w:tcW w:w="1938" w:type="dxa"/>
          </w:tcPr>
          <w:p w:rsidR="00966AA1" w:rsidRPr="00966AA1" w:rsidRDefault="00966AA1" w:rsidP="000B4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6AA1" w:rsidRDefault="00966AA1" w:rsidP="00966AA1">
      <w:pPr>
        <w:ind w:left="720"/>
        <w:rPr>
          <w:sz w:val="28"/>
          <w:szCs w:val="28"/>
        </w:rPr>
      </w:pPr>
    </w:p>
    <w:p w:rsidR="00966AA1" w:rsidRDefault="00966AA1" w:rsidP="001B65D8">
      <w:pPr>
        <w:pStyle w:val="a4"/>
        <w:spacing w:line="360" w:lineRule="auto"/>
        <w:rPr>
          <w:sz w:val="28"/>
          <w:szCs w:val="28"/>
        </w:rPr>
      </w:pPr>
    </w:p>
    <w:p w:rsidR="001B65D8" w:rsidRDefault="001B65D8" w:rsidP="00E12176">
      <w:pPr>
        <w:pStyle w:val="a4"/>
        <w:spacing w:line="360" w:lineRule="auto"/>
        <w:rPr>
          <w:sz w:val="28"/>
          <w:szCs w:val="28"/>
        </w:rPr>
      </w:pPr>
    </w:p>
    <w:p w:rsidR="00F42298" w:rsidRDefault="00F42298" w:rsidP="00F42298">
      <w:pPr>
        <w:pStyle w:val="a4"/>
        <w:spacing w:line="360" w:lineRule="auto"/>
        <w:rPr>
          <w:sz w:val="28"/>
          <w:szCs w:val="28"/>
        </w:rPr>
      </w:pPr>
    </w:p>
    <w:p w:rsidR="00F42298" w:rsidRPr="009D1082" w:rsidRDefault="001B65D8" w:rsidP="00F42298">
      <w:pPr>
        <w:pStyle w:val="a4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06D5B" w:rsidRPr="00C051B1" w:rsidRDefault="00C06D5B" w:rsidP="00F4229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06D5B" w:rsidRDefault="00C06D5B"/>
    <w:p w:rsidR="00560E6B" w:rsidRPr="000B49C9" w:rsidRDefault="00560E6B">
      <w:pPr>
        <w:rPr>
          <w:lang w:val="en-US"/>
        </w:rPr>
      </w:pPr>
    </w:p>
    <w:p w:rsidR="00560E6B" w:rsidRPr="00560E6B" w:rsidRDefault="00560E6B" w:rsidP="000B49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Подводя итоги своей двухлетней деятельности по повышению </w:t>
      </w:r>
      <w:r w:rsidR="000B49C9">
        <w:rPr>
          <w:rFonts w:ascii="Times New Roman" w:hAnsi="Times New Roman" w:cs="Times New Roman"/>
          <w:sz w:val="28"/>
          <w:szCs w:val="28"/>
        </w:rPr>
        <w:t xml:space="preserve">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категорийности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педагогов школы, могу сказать, что главное, о чём нужно помнить  - это правильная мотивация, текущий контроль </w:t>
      </w:r>
      <w:r w:rsidR="004C7268">
        <w:rPr>
          <w:rFonts w:ascii="Times New Roman" w:hAnsi="Times New Roman" w:cs="Times New Roman"/>
          <w:sz w:val="28"/>
          <w:szCs w:val="28"/>
        </w:rPr>
        <w:t>и объяснение учителю всех аспектов</w:t>
      </w:r>
      <w:r>
        <w:rPr>
          <w:rFonts w:ascii="Times New Roman" w:hAnsi="Times New Roman" w:cs="Times New Roman"/>
          <w:sz w:val="28"/>
          <w:szCs w:val="28"/>
        </w:rPr>
        <w:t xml:space="preserve"> предстоящей аттестации.</w:t>
      </w:r>
      <w:r w:rsidR="004C7268">
        <w:rPr>
          <w:rFonts w:ascii="Times New Roman" w:hAnsi="Times New Roman" w:cs="Times New Roman"/>
          <w:sz w:val="28"/>
          <w:szCs w:val="28"/>
        </w:rPr>
        <w:t xml:space="preserve"> Когда педагог знает, что делать, в каком объёме и как - он более </w:t>
      </w:r>
      <w:r w:rsidR="009B071D">
        <w:rPr>
          <w:rFonts w:ascii="Times New Roman" w:hAnsi="Times New Roman" w:cs="Times New Roman"/>
          <w:sz w:val="28"/>
          <w:szCs w:val="28"/>
        </w:rPr>
        <w:t>самостоятелен в своих действиях</w:t>
      </w:r>
      <w:r w:rsidR="004C7268">
        <w:rPr>
          <w:rFonts w:ascii="Times New Roman" w:hAnsi="Times New Roman" w:cs="Times New Roman"/>
          <w:sz w:val="28"/>
          <w:szCs w:val="28"/>
        </w:rPr>
        <w:t xml:space="preserve"> и более результативен в своих достижениях.</w:t>
      </w:r>
    </w:p>
    <w:p w:rsidR="00560E6B" w:rsidRDefault="00560E6B"/>
    <w:sectPr w:rsidR="00560E6B" w:rsidSect="000F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56CC"/>
    <w:multiLevelType w:val="hybridMultilevel"/>
    <w:tmpl w:val="4522788A"/>
    <w:lvl w:ilvl="0" w:tplc="B824B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D82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2EC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CCD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F64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B47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546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8A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06D5B"/>
    <w:rsid w:val="000876BD"/>
    <w:rsid w:val="000B49C9"/>
    <w:rsid w:val="000F03F2"/>
    <w:rsid w:val="001B65D8"/>
    <w:rsid w:val="002D61B7"/>
    <w:rsid w:val="004C7268"/>
    <w:rsid w:val="00560E6B"/>
    <w:rsid w:val="006137F2"/>
    <w:rsid w:val="00764595"/>
    <w:rsid w:val="007A55D3"/>
    <w:rsid w:val="0080006C"/>
    <w:rsid w:val="00810A92"/>
    <w:rsid w:val="00890EA8"/>
    <w:rsid w:val="008922DC"/>
    <w:rsid w:val="00966AA1"/>
    <w:rsid w:val="00986D9C"/>
    <w:rsid w:val="009B071D"/>
    <w:rsid w:val="00A92AD6"/>
    <w:rsid w:val="00C06D5B"/>
    <w:rsid w:val="00C2767C"/>
    <w:rsid w:val="00C75979"/>
    <w:rsid w:val="00E12176"/>
    <w:rsid w:val="00E574F3"/>
    <w:rsid w:val="00F42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6D5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F42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90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eksh6.edusit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Чучумова</dc:creator>
  <cp:lastModifiedBy>Kuzminyh-NA</cp:lastModifiedBy>
  <cp:revision>2</cp:revision>
  <dcterms:created xsi:type="dcterms:W3CDTF">2018-10-25T11:18:00Z</dcterms:created>
  <dcterms:modified xsi:type="dcterms:W3CDTF">2018-10-25T11:18:00Z</dcterms:modified>
</cp:coreProperties>
</file>